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FF" w:rsidRPr="00922B13" w:rsidRDefault="00DE13FF" w:rsidP="00DE13FF">
      <w:pPr>
        <w:rPr>
          <w:rFonts w:ascii="Times New Roman" w:hAnsi="Times New Roman" w:cs="Times New Roman"/>
          <w:b/>
          <w:sz w:val="24"/>
          <w:szCs w:val="24"/>
        </w:rPr>
      </w:pPr>
      <w:r w:rsidRPr="00922B13">
        <w:rPr>
          <w:rFonts w:ascii="Times New Roman" w:hAnsi="Times New Roman" w:cs="Times New Roman"/>
          <w:b/>
          <w:sz w:val="24"/>
          <w:szCs w:val="24"/>
        </w:rPr>
        <w:t>File 10 VA Monitoring of Subawards</w:t>
      </w:r>
    </w:p>
    <w:p w:rsidR="0049256C" w:rsidRDefault="00235B58"/>
    <w:p w:rsidR="00DE13FF" w:rsidRDefault="00DE13FF" w:rsidP="00DE13FF">
      <w:pPr>
        <w:pStyle w:val="m7407715321448988588gmail-default"/>
        <w:shd w:val="clear" w:color="auto" w:fill="FFFFFF"/>
        <w:spacing w:before="0" w:beforeAutospacing="0" w:after="0" w:afterAutospacing="0"/>
        <w:rPr>
          <w:color w:val="000000"/>
        </w:rPr>
      </w:pPr>
      <w:r>
        <w:rPr>
          <w:color w:val="000000"/>
        </w:rPr>
        <w:t xml:space="preserve">In SFY18 DCJS increased our oversight and monitoring of VOCA funded projects. For example, we hired a full-time Fiscal Monitor and added two additional </w:t>
      </w:r>
      <w:proofErr w:type="spellStart"/>
      <w:r>
        <w:rPr>
          <w:color w:val="000000"/>
        </w:rPr>
        <w:t>subgrant</w:t>
      </w:r>
      <w:proofErr w:type="spellEnd"/>
      <w:r>
        <w:rPr>
          <w:color w:val="000000"/>
        </w:rPr>
        <w:t xml:space="preserve"> programmatic monitoring positions. Additionally, DCJS is reviewing and will ensure its policies and procedures are consistent with the VOCA Rule and the federal Financial Guide for the awarding and monitoring of grants.</w:t>
      </w:r>
    </w:p>
    <w:p w:rsidR="00DE13FF" w:rsidRDefault="00DE13FF" w:rsidP="00DE13FF">
      <w:pPr>
        <w:pStyle w:val="m7407715321448988588gmail-default"/>
        <w:shd w:val="clear" w:color="auto" w:fill="FFFFFF"/>
        <w:spacing w:before="0" w:beforeAutospacing="0" w:after="0" w:afterAutospacing="0"/>
        <w:rPr>
          <w:color w:val="000000"/>
        </w:rPr>
      </w:pPr>
      <w:r>
        <w:rPr>
          <w:color w:val="000000"/>
        </w:rPr>
        <w:t> </w:t>
      </w:r>
    </w:p>
    <w:p w:rsidR="00DE13FF" w:rsidRDefault="00DE13FF" w:rsidP="00DE13FF">
      <w:pPr>
        <w:pStyle w:val="m7407715321448988588gmail-default"/>
        <w:shd w:val="clear" w:color="auto" w:fill="FFFFFF"/>
        <w:spacing w:before="0" w:beforeAutospacing="0" w:after="0" w:afterAutospacing="0"/>
        <w:rPr>
          <w:color w:val="000000"/>
        </w:rPr>
      </w:pPr>
      <w:r>
        <w:rPr>
          <w:color w:val="000000"/>
        </w:rPr>
        <w:t>In 2018 DCJS hired an additional Grant Monitor and revised our Subgrantee Risk Assessment process by including a scored risk assessment in the grant application budget submitted by VOCA applicants. Risk factors are consistent with the guidance in 2 CFR200. As part of the grant application review process, Grant Monitors review information submitted by grant applicants and add additional information based on their file reviews and their knowledge of each applicant program. The composite scores are ranked in order to establish monitoring priority levels. DCJS also developed a compliance monitoring tool which identifies VOCA rule and CFR compliance items which can be assessed on-site, through desk audit, and through self-assessment.</w:t>
      </w:r>
    </w:p>
    <w:p w:rsidR="00DE13FF" w:rsidRDefault="00DE13FF" w:rsidP="00DE13FF">
      <w:pPr>
        <w:pStyle w:val="m7407715321448988588gmail-default"/>
        <w:shd w:val="clear" w:color="auto" w:fill="FFFFFF"/>
        <w:spacing w:before="0" w:beforeAutospacing="0" w:after="0" w:afterAutospacing="0"/>
        <w:rPr>
          <w:color w:val="000000"/>
        </w:rPr>
      </w:pPr>
      <w:r>
        <w:rPr>
          <w:color w:val="000000"/>
        </w:rPr>
        <w:t> </w:t>
      </w:r>
    </w:p>
    <w:p w:rsidR="00DE13FF" w:rsidRDefault="00DE13FF" w:rsidP="00DE13FF">
      <w:pPr>
        <w:pStyle w:val="m7407715321448988588gmail-default"/>
        <w:shd w:val="clear" w:color="auto" w:fill="FFFFFF"/>
        <w:spacing w:before="0" w:beforeAutospacing="0" w:after="0" w:afterAutospacing="0"/>
        <w:rPr>
          <w:color w:val="000000"/>
        </w:rPr>
      </w:pPr>
      <w:r>
        <w:rPr>
          <w:color w:val="000000"/>
        </w:rPr>
        <w:t>In the last year, staff conducted 70 on-site monitoring visits and we conducted 113 scored risk assessments, each of which includes a file review. In addition, staff reviewed over 1200 program performance or financial reports and responded to thousands of requests for technical assistance. In the coming year, we anticipate 90 site visits, many of which will involve the review of multiple awards.</w:t>
      </w:r>
    </w:p>
    <w:p w:rsidR="00DE13FF" w:rsidRDefault="00DE13FF" w:rsidP="00DE13FF">
      <w:pPr>
        <w:pStyle w:val="m7407715321448988588gmail-default"/>
        <w:shd w:val="clear" w:color="auto" w:fill="FFFFFF"/>
        <w:spacing w:before="0" w:beforeAutospacing="0" w:after="0" w:afterAutospacing="0"/>
        <w:rPr>
          <w:color w:val="000000"/>
        </w:rPr>
      </w:pPr>
      <w:r>
        <w:rPr>
          <w:color w:val="000000"/>
        </w:rPr>
        <w:t> </w:t>
      </w:r>
    </w:p>
    <w:p w:rsidR="00DE13FF" w:rsidRDefault="00DE13FF" w:rsidP="00DE13FF">
      <w:pPr>
        <w:pStyle w:val="m7407715321448988588gmail-default"/>
        <w:shd w:val="clear" w:color="auto" w:fill="FFFFFF"/>
        <w:spacing w:before="0" w:beforeAutospacing="0" w:after="0" w:afterAutospacing="0"/>
        <w:rPr>
          <w:color w:val="000000"/>
        </w:rPr>
      </w:pPr>
      <w:r>
        <w:rPr>
          <w:color w:val="000000"/>
        </w:rPr>
        <w:t>DCJS meets the VOCA Victim Assistance Final Rule (§ 94.106(b)) requirement that SAAs conduct regular desk monitoring of all sub-recipients by conducting quarterly reviews of all project performance reports and financial reports. In addition, DCJS is aware that SAAs are to conduct on-site monitoring of all subrecipients at least once every two years during the award period, unless a different frequency, based on risk assessment, is set out in the monitoring plan.</w:t>
      </w:r>
      <w:r w:rsidR="004B32C5">
        <w:rPr>
          <w:color w:val="000000"/>
        </w:rPr>
        <w:t xml:space="preserve"> </w:t>
      </w:r>
      <w:r>
        <w:rPr>
          <w:color w:val="000000"/>
        </w:rPr>
        <w:t xml:space="preserve">We are currently testing a monitoring plan which requires on-site monitoring every one to four years, based on risk. Based on current risk scores, we estimate site visits </w:t>
      </w:r>
      <w:r w:rsidR="00235B58">
        <w:rPr>
          <w:color w:val="000000"/>
        </w:rPr>
        <w:t xml:space="preserve">assessing 90 subawards </w:t>
      </w:r>
      <w:r>
        <w:rPr>
          <w:color w:val="000000"/>
        </w:rPr>
        <w:t xml:space="preserve">will be required this year. </w:t>
      </w:r>
      <w:r w:rsidR="00235B58">
        <w:rPr>
          <w:color w:val="000000"/>
        </w:rPr>
        <w:t xml:space="preserve">We are currently meeting this goal. </w:t>
      </w:r>
      <w:r w:rsidR="004B32C5" w:rsidRPr="00D1051A">
        <w:rPr>
          <w:color w:val="000000"/>
        </w:rPr>
        <w:t xml:space="preserve">With the increase in VOCA funds, we will also soon begin recruiting for additional </w:t>
      </w:r>
      <w:r w:rsidRPr="00D1051A">
        <w:rPr>
          <w:color w:val="000000"/>
        </w:rPr>
        <w:t>fis</w:t>
      </w:r>
      <w:bookmarkStart w:id="0" w:name="_GoBack"/>
      <w:bookmarkEnd w:id="0"/>
      <w:r w:rsidRPr="00D1051A">
        <w:rPr>
          <w:color w:val="000000"/>
        </w:rPr>
        <w:t>cal analysts and grant monitoring positions, in order to support more on-site monitoring.</w:t>
      </w:r>
    </w:p>
    <w:p w:rsidR="00DE13FF" w:rsidRPr="00D1051A" w:rsidRDefault="00DE13FF">
      <w:pPr>
        <w:rPr>
          <w:rFonts w:ascii="Times New Roman" w:eastAsia="Times New Roman" w:hAnsi="Times New Roman" w:cs="Times New Roman"/>
          <w:color w:val="000000"/>
          <w:sz w:val="24"/>
          <w:szCs w:val="24"/>
        </w:rPr>
      </w:pPr>
    </w:p>
    <w:p w:rsidR="00DE13FF" w:rsidRDefault="00DE13FF"/>
    <w:p w:rsidR="00DE13FF" w:rsidRDefault="00DE13FF"/>
    <w:sectPr w:rsidR="00DE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FF"/>
    <w:rsid w:val="00196CD5"/>
    <w:rsid w:val="00235B58"/>
    <w:rsid w:val="004B32C5"/>
    <w:rsid w:val="00D1051A"/>
    <w:rsid w:val="00DC28FE"/>
    <w:rsid w:val="00DE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407715321448988588gmail-default">
    <w:name w:val="m_7407715321448988588gmail-default"/>
    <w:basedOn w:val="Normal"/>
    <w:rsid w:val="00DE13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407715321448988588gmail-default">
    <w:name w:val="m_7407715321448988588gmail-default"/>
    <w:basedOn w:val="Normal"/>
    <w:rsid w:val="00DE13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John (DCJS)</dc:creator>
  <cp:lastModifiedBy>Mahoney, John (DCJS)</cp:lastModifiedBy>
  <cp:revision>2</cp:revision>
  <cp:lastPrinted>2018-05-22T18:36:00Z</cp:lastPrinted>
  <dcterms:created xsi:type="dcterms:W3CDTF">2018-05-24T18:33:00Z</dcterms:created>
  <dcterms:modified xsi:type="dcterms:W3CDTF">2018-05-24T18:33:00Z</dcterms:modified>
</cp:coreProperties>
</file>